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D" w:rsidRDefault="00775A9D" w:rsidP="00775A9D">
      <w:pPr>
        <w:pStyle w:val="Bezodstpw"/>
        <w:jc w:val="center"/>
        <w:rPr>
          <w:b/>
        </w:rPr>
      </w:pPr>
      <w:r>
        <w:rPr>
          <w:b/>
        </w:rPr>
        <w:t>WARUNKI</w:t>
      </w:r>
      <w:r w:rsidR="00F32D7B">
        <w:rPr>
          <w:b/>
        </w:rPr>
        <w:t xml:space="preserve"> II</w:t>
      </w:r>
      <w:r>
        <w:rPr>
          <w:b/>
        </w:rPr>
        <w:t xml:space="preserve"> PRZETARGU</w:t>
      </w:r>
    </w:p>
    <w:p w:rsidR="00775A9D" w:rsidRDefault="00775A9D" w:rsidP="00775A9D">
      <w:pPr>
        <w:pStyle w:val="Bezodstpw"/>
        <w:jc w:val="center"/>
        <w:rPr>
          <w:b/>
        </w:rPr>
      </w:pPr>
      <w:r>
        <w:rPr>
          <w:b/>
        </w:rPr>
        <w:t>USTNEGO OGRANICZONEGO NA SPRZEDAŻ NIERUCHOMOŚCI GRUNTOWEJ STANOWIĄCEJ WŁASNOŚĆ GMINY LIDZBARK</w:t>
      </w:r>
    </w:p>
    <w:p w:rsidR="00775A9D" w:rsidRDefault="00775A9D" w:rsidP="00775A9D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775A9D" w:rsidRPr="00E74014" w:rsidRDefault="00775A9D" w:rsidP="00775A9D">
      <w:pPr>
        <w:pStyle w:val="Bezodstpw"/>
        <w:rPr>
          <w:rFonts w:ascii="Arial" w:hAnsi="Arial" w:cs="Arial"/>
          <w:b/>
          <w:sz w:val="20"/>
          <w:szCs w:val="20"/>
        </w:rPr>
      </w:pPr>
      <w:r w:rsidRPr="00E74014">
        <w:rPr>
          <w:rFonts w:ascii="Arial" w:hAnsi="Arial" w:cs="Arial"/>
          <w:b/>
          <w:sz w:val="20"/>
          <w:szCs w:val="20"/>
        </w:rPr>
        <w:t>§ 1 Podstawy prawne.</w:t>
      </w:r>
    </w:p>
    <w:p w:rsidR="00775A9D" w:rsidRDefault="00775A9D" w:rsidP="00775A9D">
      <w:pPr>
        <w:pStyle w:val="Bezodstpw"/>
        <w:rPr>
          <w:rFonts w:ascii="Arial" w:hAnsi="Arial" w:cs="Arial"/>
          <w:sz w:val="20"/>
          <w:szCs w:val="20"/>
        </w:rPr>
      </w:pPr>
    </w:p>
    <w:p w:rsidR="00775A9D" w:rsidRDefault="00775A9D" w:rsidP="00775A9D">
      <w:pPr>
        <w:pStyle w:val="Bezodstpw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</w:t>
      </w:r>
      <w:r w:rsidR="009377E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377ED">
        <w:rPr>
          <w:rFonts w:ascii="Arial" w:hAnsi="Arial" w:cs="Arial"/>
          <w:sz w:val="20"/>
          <w:szCs w:val="20"/>
        </w:rPr>
        <w:t>782</w:t>
      </w:r>
      <w:r>
        <w:rPr>
          <w:rFonts w:ascii="Arial" w:hAnsi="Arial" w:cs="Arial"/>
          <w:sz w:val="20"/>
          <w:szCs w:val="20"/>
        </w:rPr>
        <w:t>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1490).</w:t>
      </w:r>
    </w:p>
    <w:p w:rsidR="00775A9D" w:rsidRDefault="00775A9D" w:rsidP="00775A9D">
      <w:pPr>
        <w:pStyle w:val="Bezodstpw"/>
        <w:rPr>
          <w:rFonts w:ascii="Arial" w:hAnsi="Arial" w:cs="Arial"/>
          <w:sz w:val="20"/>
          <w:szCs w:val="20"/>
        </w:rPr>
      </w:pPr>
    </w:p>
    <w:p w:rsidR="00775A9D" w:rsidRPr="00E74014" w:rsidRDefault="00775A9D" w:rsidP="00775A9D">
      <w:pPr>
        <w:pStyle w:val="Bezodstpw"/>
        <w:rPr>
          <w:rFonts w:ascii="Arial" w:hAnsi="Arial" w:cs="Arial"/>
          <w:b/>
          <w:sz w:val="20"/>
          <w:szCs w:val="20"/>
        </w:rPr>
      </w:pPr>
      <w:r w:rsidRPr="00E74014">
        <w:rPr>
          <w:rFonts w:ascii="Arial" w:hAnsi="Arial" w:cs="Arial"/>
          <w:b/>
          <w:sz w:val="20"/>
          <w:szCs w:val="20"/>
        </w:rPr>
        <w:t>§ 2 Przedmiot przetargu.</w:t>
      </w:r>
    </w:p>
    <w:p w:rsidR="00775A9D" w:rsidRDefault="00775A9D" w:rsidP="00775A9D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775A9D" w:rsidRDefault="00775A9D" w:rsidP="00775A9D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gruntowa niezabudowana stanowiąca własność Gminy Lidzbark, położona w Lidzbarku przy ulicy Okopowej, na osiedlu budownictwa jednorodzinnego z dostępem do drogi publicznej i mediów, zapisana w księdze wieczystej </w:t>
      </w:r>
      <w:r>
        <w:rPr>
          <w:rFonts w:ascii="Arial" w:hAnsi="Arial" w:cs="Arial"/>
          <w:b/>
          <w:sz w:val="20"/>
          <w:szCs w:val="20"/>
        </w:rPr>
        <w:t>KW EL1D/00016080/1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oznaczona w ewidencji gruntów miasta Lidzbark </w:t>
      </w:r>
      <w:r>
        <w:rPr>
          <w:rFonts w:ascii="Arial" w:hAnsi="Arial" w:cs="Arial"/>
          <w:b/>
          <w:sz w:val="20"/>
          <w:szCs w:val="20"/>
        </w:rPr>
        <w:t>obręb 2</w:t>
      </w:r>
      <w:r>
        <w:rPr>
          <w:rFonts w:ascii="Arial" w:hAnsi="Arial" w:cs="Arial"/>
          <w:sz w:val="20"/>
          <w:szCs w:val="20"/>
        </w:rPr>
        <w:t xml:space="preserve"> numerem działki </w:t>
      </w:r>
      <w:r>
        <w:rPr>
          <w:rFonts w:ascii="Arial" w:hAnsi="Arial" w:cs="Arial"/>
          <w:b/>
          <w:sz w:val="20"/>
          <w:szCs w:val="20"/>
        </w:rPr>
        <w:t xml:space="preserve">780/13 </w:t>
      </w:r>
      <w:r>
        <w:rPr>
          <w:rFonts w:ascii="Arial" w:hAnsi="Arial" w:cs="Arial"/>
          <w:sz w:val="20"/>
          <w:szCs w:val="20"/>
        </w:rPr>
        <w:t>o powierzchni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0,0131 ha</w:t>
      </w:r>
      <w:proofErr w:type="gramEnd"/>
      <w:r>
        <w:rPr>
          <w:rFonts w:ascii="Arial" w:hAnsi="Arial" w:cs="Arial"/>
          <w:sz w:val="20"/>
          <w:szCs w:val="20"/>
        </w:rPr>
        <w:t xml:space="preserve">. Przez nieruchomość przebiega sieć kanalizacji </w:t>
      </w:r>
      <w:proofErr w:type="gramStart"/>
      <w:r>
        <w:rPr>
          <w:rFonts w:ascii="Arial" w:hAnsi="Arial" w:cs="Arial"/>
          <w:sz w:val="20"/>
          <w:szCs w:val="20"/>
        </w:rPr>
        <w:t>sanitarnej  ze</w:t>
      </w:r>
      <w:proofErr w:type="gramEnd"/>
      <w:r>
        <w:rPr>
          <w:rFonts w:ascii="Arial" w:hAnsi="Arial" w:cs="Arial"/>
          <w:sz w:val="20"/>
          <w:szCs w:val="20"/>
        </w:rPr>
        <w:t xml:space="preserve"> studzienką kanalizacyjną.</w:t>
      </w:r>
    </w:p>
    <w:p w:rsidR="00775A9D" w:rsidRDefault="00775A9D" w:rsidP="00775A9D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Położenie tej nieruchomości oraz jej normatyw uniemożliwiający </w:t>
      </w:r>
      <w:proofErr w:type="gramStart"/>
      <w:r>
        <w:rPr>
          <w:rFonts w:ascii="Arial" w:hAnsi="Arial" w:cs="Arial"/>
          <w:sz w:val="20"/>
          <w:szCs w:val="20"/>
        </w:rPr>
        <w:t>zagospodarowanie jako</w:t>
      </w:r>
      <w:proofErr w:type="gramEnd"/>
      <w:r>
        <w:rPr>
          <w:rFonts w:ascii="Arial" w:hAnsi="Arial" w:cs="Arial"/>
          <w:sz w:val="20"/>
          <w:szCs w:val="20"/>
        </w:rPr>
        <w:t xml:space="preserve"> odrębnej nieruchomości, umożliwia jej sprzedaż jedynie na rzecz właścicieli działek bezpośrednio do niej przylegających na poprawę warunków ich zagospodarowania. Dlatego przeznaczona jest ona do sprzedaży w drodze przetargu ustnego ograniczonego.</w:t>
      </w:r>
    </w:p>
    <w:p w:rsidR="00775A9D" w:rsidRDefault="00775A9D" w:rsidP="00775A9D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Ograniczenie polega na możliwości przystąpienia do przetargu tylko osób będących właścicielami lub posiadających inny tytuł prawny do działek bezpośrednio do tej nieruchomości przyległych oznaczonych numerami działek 783, 784 i 785.</w:t>
      </w:r>
    </w:p>
    <w:p w:rsidR="00775A9D" w:rsidRDefault="00775A9D" w:rsidP="00775A9D">
      <w:pPr>
        <w:pStyle w:val="Bezodstpw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zagospodarowania przestrzennego dla obszaru obejmującego przedmiotową nieruchomość. Zgodnie ze Studium uwarunkowań i kierunków zagospodarowania przestrzennego miasta Lidzbark, przedmiotowy grunt położony jest w strefie terenów zabudowy mieszkaniowej jednorodzinnej z dopuszczeniem usług</w:t>
      </w:r>
      <w:r w:rsidR="004B7D6F">
        <w:rPr>
          <w:rFonts w:ascii="Arial" w:hAnsi="Arial" w:cs="Arial"/>
          <w:sz w:val="20"/>
          <w:szCs w:val="20"/>
        </w:rPr>
        <w:t>.</w:t>
      </w:r>
    </w:p>
    <w:p w:rsidR="00775A9D" w:rsidRDefault="00775A9D" w:rsidP="00775A9D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zobowiązań.</w:t>
      </w:r>
    </w:p>
    <w:p w:rsidR="00775A9D" w:rsidRDefault="00775A9D" w:rsidP="00775A9D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będzie obciążona nieodpłatną służebnością przesyłu na rzecz Gminy Lidzbark, na czas nieoznaczony.</w:t>
      </w:r>
    </w:p>
    <w:p w:rsidR="00775A9D" w:rsidRDefault="00775A9D" w:rsidP="00775A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75A9D" w:rsidRPr="00E74014" w:rsidRDefault="00775A9D" w:rsidP="00775A9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E74014">
        <w:rPr>
          <w:rFonts w:ascii="Arial" w:hAnsi="Arial" w:cs="Arial"/>
          <w:b/>
          <w:sz w:val="20"/>
          <w:szCs w:val="20"/>
        </w:rPr>
        <w:t>§ 3 Warunki przetargu</w:t>
      </w:r>
    </w:p>
    <w:p w:rsidR="00775A9D" w:rsidRDefault="00775A9D" w:rsidP="00775A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75A9D" w:rsidRDefault="00775A9D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7667A1">
        <w:rPr>
          <w:rFonts w:ascii="Arial" w:hAnsi="Arial" w:cs="Arial"/>
          <w:b/>
          <w:sz w:val="20"/>
          <w:szCs w:val="20"/>
        </w:rPr>
        <w:t>4</w:t>
      </w:r>
      <w:r w:rsidR="003B6AC1">
        <w:rPr>
          <w:rFonts w:ascii="Arial" w:hAnsi="Arial" w:cs="Arial"/>
          <w:b/>
          <w:sz w:val="20"/>
          <w:szCs w:val="20"/>
        </w:rPr>
        <w:t>.300</w:t>
      </w:r>
      <w:r>
        <w:rPr>
          <w:rFonts w:ascii="Arial" w:hAnsi="Arial" w:cs="Arial"/>
          <w:b/>
          <w:sz w:val="20"/>
          <w:szCs w:val="20"/>
        </w:rPr>
        <w:t xml:space="preserve">,00 </w:t>
      </w:r>
      <w:proofErr w:type="gramStart"/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7667A1">
        <w:rPr>
          <w:rFonts w:ascii="Arial" w:hAnsi="Arial" w:cs="Arial"/>
          <w:sz w:val="20"/>
          <w:szCs w:val="20"/>
        </w:rPr>
        <w:t>cztery</w:t>
      </w:r>
      <w:r>
        <w:rPr>
          <w:rFonts w:ascii="Arial" w:hAnsi="Arial" w:cs="Arial"/>
          <w:sz w:val="20"/>
          <w:szCs w:val="20"/>
        </w:rPr>
        <w:t xml:space="preserve"> tysi</w:t>
      </w:r>
      <w:r w:rsidR="007667A1">
        <w:rPr>
          <w:rFonts w:ascii="Arial" w:hAnsi="Arial" w:cs="Arial"/>
          <w:sz w:val="20"/>
          <w:szCs w:val="20"/>
        </w:rPr>
        <w:t>ące</w:t>
      </w:r>
      <w:r>
        <w:rPr>
          <w:rFonts w:ascii="Arial" w:hAnsi="Arial" w:cs="Arial"/>
          <w:sz w:val="20"/>
          <w:szCs w:val="20"/>
        </w:rPr>
        <w:t xml:space="preserve"> </w:t>
      </w:r>
      <w:r w:rsidR="003B6AC1">
        <w:rPr>
          <w:rFonts w:ascii="Arial" w:hAnsi="Arial" w:cs="Arial"/>
          <w:sz w:val="20"/>
          <w:szCs w:val="20"/>
        </w:rPr>
        <w:t>trzysta</w:t>
      </w:r>
      <w:r>
        <w:rPr>
          <w:rFonts w:ascii="Arial" w:hAnsi="Arial" w:cs="Arial"/>
          <w:sz w:val="20"/>
          <w:szCs w:val="20"/>
        </w:rPr>
        <w:t xml:space="preserve"> złotych) netto</w:t>
      </w:r>
      <w:r w:rsidR="004B7D6F">
        <w:rPr>
          <w:rFonts w:ascii="Arial" w:hAnsi="Arial" w:cs="Arial"/>
          <w:sz w:val="20"/>
          <w:szCs w:val="20"/>
        </w:rPr>
        <w:t>.</w:t>
      </w:r>
    </w:p>
    <w:p w:rsidR="00775A9D" w:rsidRDefault="00775A9D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437FB9" w:rsidRDefault="00437FB9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wynosi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7667A1">
        <w:rPr>
          <w:rFonts w:ascii="Arial" w:hAnsi="Arial" w:cs="Arial"/>
          <w:b/>
          <w:sz w:val="20"/>
          <w:szCs w:val="20"/>
        </w:rPr>
        <w:t>4</w:t>
      </w:r>
      <w:r w:rsidRPr="00437FB9">
        <w:rPr>
          <w:rFonts w:ascii="Arial" w:hAnsi="Arial" w:cs="Arial"/>
          <w:b/>
          <w:sz w:val="20"/>
          <w:szCs w:val="20"/>
        </w:rPr>
        <w:t>30,00zł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7667A1">
        <w:rPr>
          <w:rFonts w:ascii="Arial" w:hAnsi="Arial" w:cs="Arial"/>
          <w:sz w:val="20"/>
          <w:szCs w:val="20"/>
        </w:rPr>
        <w:t>czterysta</w:t>
      </w:r>
      <w:r>
        <w:rPr>
          <w:rFonts w:ascii="Arial" w:hAnsi="Arial" w:cs="Arial"/>
          <w:sz w:val="20"/>
          <w:szCs w:val="20"/>
        </w:rPr>
        <w:t xml:space="preserve"> trzydzieści złotych)</w:t>
      </w:r>
    </w:p>
    <w:p w:rsidR="00775A9D" w:rsidRDefault="00775A9D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667A1">
        <w:rPr>
          <w:rFonts w:ascii="Arial" w:hAnsi="Arial" w:cs="Arial"/>
          <w:b/>
          <w:sz w:val="20"/>
          <w:szCs w:val="20"/>
        </w:rPr>
        <w:t>30 października</w:t>
      </w:r>
      <w:r>
        <w:rPr>
          <w:rFonts w:ascii="Arial" w:hAnsi="Arial" w:cs="Arial"/>
          <w:b/>
          <w:sz w:val="20"/>
          <w:szCs w:val="20"/>
        </w:rPr>
        <w:t xml:space="preserve"> 2015r. o godz. 1</w:t>
      </w:r>
      <w:r w:rsidR="003B6AC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775A9D" w:rsidRDefault="00775A9D" w:rsidP="00775A9D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775A9D" w:rsidRDefault="00775A9D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775A9D" w:rsidRPr="00E74014" w:rsidRDefault="00775A9D" w:rsidP="00775A9D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775A9D" w:rsidRDefault="00775A9D" w:rsidP="00775A9D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3B6AC1">
        <w:rPr>
          <w:rFonts w:ascii="Arial" w:hAnsi="Arial" w:cs="Arial"/>
          <w:b/>
          <w:sz w:val="20"/>
          <w:szCs w:val="20"/>
        </w:rPr>
        <w:t>2</w:t>
      </w:r>
      <w:r w:rsidR="007667A1">
        <w:rPr>
          <w:rFonts w:ascii="Arial" w:hAnsi="Arial" w:cs="Arial"/>
          <w:b/>
          <w:sz w:val="20"/>
          <w:szCs w:val="20"/>
        </w:rPr>
        <w:t>3</w:t>
      </w:r>
      <w:r w:rsidR="003B6AC1">
        <w:rPr>
          <w:rFonts w:ascii="Arial" w:hAnsi="Arial" w:cs="Arial"/>
          <w:b/>
          <w:sz w:val="20"/>
          <w:szCs w:val="20"/>
        </w:rPr>
        <w:t xml:space="preserve"> </w:t>
      </w:r>
      <w:r w:rsidR="007667A1">
        <w:rPr>
          <w:rFonts w:ascii="Arial" w:hAnsi="Arial" w:cs="Arial"/>
          <w:b/>
          <w:sz w:val="20"/>
          <w:szCs w:val="20"/>
        </w:rPr>
        <w:t>października</w:t>
      </w:r>
      <w:r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775A9D" w:rsidRDefault="00775A9D" w:rsidP="00775A9D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wpłacą wadium w wysokości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7667A1">
        <w:rPr>
          <w:rFonts w:ascii="Arial" w:hAnsi="Arial" w:cs="Arial"/>
          <w:b/>
          <w:sz w:val="20"/>
          <w:szCs w:val="20"/>
        </w:rPr>
        <w:t>4</w:t>
      </w:r>
      <w:r w:rsidR="003B6AC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0,-zł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7667A1">
        <w:rPr>
          <w:rFonts w:ascii="Arial" w:hAnsi="Arial" w:cs="Arial"/>
          <w:sz w:val="20"/>
          <w:szCs w:val="20"/>
        </w:rPr>
        <w:t>czterysta</w:t>
      </w:r>
      <w:r w:rsidR="003B6AC1">
        <w:rPr>
          <w:rFonts w:ascii="Arial" w:hAnsi="Arial" w:cs="Arial"/>
          <w:sz w:val="20"/>
          <w:szCs w:val="20"/>
        </w:rPr>
        <w:t xml:space="preserve"> trzydzieści</w:t>
      </w:r>
      <w:r>
        <w:rPr>
          <w:rFonts w:ascii="Arial" w:hAnsi="Arial" w:cs="Arial"/>
          <w:sz w:val="20"/>
          <w:szCs w:val="20"/>
        </w:rPr>
        <w:t xml:space="preserve"> złotych), najpóźniej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3B6AC1">
        <w:rPr>
          <w:rFonts w:ascii="Arial" w:hAnsi="Arial" w:cs="Arial"/>
          <w:b/>
          <w:sz w:val="20"/>
          <w:szCs w:val="20"/>
        </w:rPr>
        <w:t>2</w:t>
      </w:r>
      <w:r w:rsidR="007667A1">
        <w:rPr>
          <w:rFonts w:ascii="Arial" w:hAnsi="Arial" w:cs="Arial"/>
          <w:b/>
          <w:sz w:val="20"/>
          <w:szCs w:val="20"/>
        </w:rPr>
        <w:t>3</w:t>
      </w:r>
      <w:r w:rsidR="003B6AC1">
        <w:rPr>
          <w:rFonts w:ascii="Arial" w:hAnsi="Arial" w:cs="Arial"/>
          <w:b/>
          <w:sz w:val="20"/>
          <w:szCs w:val="20"/>
        </w:rPr>
        <w:t xml:space="preserve"> </w:t>
      </w:r>
      <w:r w:rsidR="007667A1">
        <w:rPr>
          <w:rFonts w:ascii="Arial" w:hAnsi="Arial" w:cs="Arial"/>
          <w:b/>
          <w:sz w:val="20"/>
          <w:szCs w:val="20"/>
        </w:rPr>
        <w:t>października</w:t>
      </w:r>
      <w:r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 lub w kasie urzędu do godz. 14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, </w:t>
      </w:r>
    </w:p>
    <w:p w:rsidR="00775A9D" w:rsidRDefault="00775A9D" w:rsidP="00775A9D">
      <w:pPr>
        <w:pStyle w:val="Bezodstpw"/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3) Złożą wymagane dokumenty potwierdzające spełnienie warunków ograniczenia przetargu (dokument potwierdzający prawo własności lub inny tytuł prawny do nieruchomości przyległej do działki będącej przedmiotem przetargu tj.: odpis aktu notarialnego, lub zawiadomienie o wpisie w księdze wieczystej bądź też odpis z księgi wieczystej lub inne) </w:t>
      </w:r>
      <w:r>
        <w:rPr>
          <w:rFonts w:ascii="Arial" w:hAnsi="Arial" w:cs="Arial"/>
          <w:sz w:val="20"/>
          <w:szCs w:val="20"/>
        </w:rPr>
        <w:br/>
        <w:t xml:space="preserve">7 dni przed wyznaczonym terminem przetargu tj. </w:t>
      </w:r>
      <w:r>
        <w:rPr>
          <w:rFonts w:ascii="Arial" w:hAnsi="Arial" w:cs="Arial"/>
          <w:b/>
          <w:sz w:val="20"/>
          <w:szCs w:val="20"/>
          <w:u w:val="single"/>
        </w:rPr>
        <w:t xml:space="preserve">najpóźniej do dnia </w:t>
      </w:r>
      <w:r w:rsidR="003B6AC1">
        <w:rPr>
          <w:rFonts w:ascii="Arial" w:hAnsi="Arial" w:cs="Arial"/>
          <w:b/>
          <w:sz w:val="20"/>
          <w:szCs w:val="20"/>
          <w:u w:val="single"/>
        </w:rPr>
        <w:t>2</w:t>
      </w:r>
      <w:r w:rsidR="007667A1">
        <w:rPr>
          <w:rFonts w:ascii="Arial" w:hAnsi="Arial" w:cs="Arial"/>
          <w:b/>
          <w:sz w:val="20"/>
          <w:szCs w:val="20"/>
          <w:u w:val="single"/>
        </w:rPr>
        <w:t>3</w:t>
      </w:r>
      <w:r w:rsidR="003B6A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667A1">
        <w:rPr>
          <w:rFonts w:ascii="Arial" w:hAnsi="Arial" w:cs="Arial"/>
          <w:b/>
          <w:sz w:val="20"/>
          <w:szCs w:val="20"/>
          <w:u w:val="single"/>
        </w:rPr>
        <w:t xml:space="preserve">października </w:t>
      </w:r>
      <w:r>
        <w:rPr>
          <w:rFonts w:ascii="Arial" w:hAnsi="Arial" w:cs="Arial"/>
          <w:b/>
          <w:sz w:val="20"/>
          <w:szCs w:val="20"/>
          <w:u w:val="single"/>
        </w:rPr>
        <w:t>2015r.,</w:t>
      </w:r>
    </w:p>
    <w:p w:rsidR="00775A9D" w:rsidRDefault="00775A9D" w:rsidP="00775A9D">
      <w:pPr>
        <w:pStyle w:val="Bezodstpw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Komisja sprawdzi w/w dowody i zakwalifikuje do uczestnictwa w przetargu, wywieszając listę osób zakwalifikowanych w siedzibie urzędu nie później niż na jeden dzień przed wyznaczonym terminem przetargu,</w:t>
      </w:r>
    </w:p>
    <w:p w:rsidR="00775A9D" w:rsidRDefault="00E74014" w:rsidP="00E74014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775A9D">
        <w:rPr>
          <w:rFonts w:ascii="Arial" w:hAnsi="Arial" w:cs="Arial"/>
          <w:sz w:val="20"/>
          <w:szCs w:val="20"/>
        </w:rPr>
        <w:t xml:space="preserve">złożą podpisane oświadczenie o zapoznaniu się z warunkami przetargu, (wzór oświadczenia stanowi załącznik nr 2), </w:t>
      </w:r>
    </w:p>
    <w:p w:rsidR="00775A9D" w:rsidRDefault="00E74014" w:rsidP="00E74014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775A9D"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notarialne pełnomocnictwo do dokonania określonej czynności prawnej.</w:t>
      </w:r>
    </w:p>
    <w:p w:rsidR="00775A9D" w:rsidRDefault="00775A9D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osobę wygrywającą przetarg zalicza się na poczet ceny nabycia nieruchomości, a w przypadku uchylenia się przez tę osobę od zawarcia umowy, wadium przepada na rzecz Gminy Lidzbark.</w:t>
      </w:r>
    </w:p>
    <w:p w:rsidR="00775A9D" w:rsidRDefault="00775A9D" w:rsidP="00775A9D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pozostałych uczestników zwraca się po zakończeniu przetargu, nie później niż w ciągu 3 dni roboczych po zakończeniu przetargu, przelewem na wskazane przez nich rachunki</w:t>
      </w:r>
      <w:r w:rsidR="00F902B1">
        <w:rPr>
          <w:rFonts w:ascii="Arial" w:hAnsi="Arial" w:cs="Arial"/>
          <w:sz w:val="20"/>
          <w:szCs w:val="20"/>
        </w:rPr>
        <w:t xml:space="preserve"> lub w kasie urzędu</w:t>
      </w:r>
      <w:r>
        <w:rPr>
          <w:rFonts w:ascii="Arial" w:hAnsi="Arial" w:cs="Arial"/>
          <w:sz w:val="20"/>
          <w:szCs w:val="20"/>
        </w:rPr>
        <w:t>.</w:t>
      </w:r>
    </w:p>
    <w:p w:rsidR="00775A9D" w:rsidRDefault="00775A9D" w:rsidP="00775A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D52E5" w:rsidRDefault="007D52E5" w:rsidP="007D52E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7D52E5" w:rsidRDefault="007D52E5" w:rsidP="007D52E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D52E5" w:rsidRDefault="007D52E5" w:rsidP="007D52E5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7D52E5" w:rsidRDefault="007D52E5" w:rsidP="007D52E5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7D52E5" w:rsidRDefault="007D52E5" w:rsidP="007D52E5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7D52E5" w:rsidRDefault="007D52E5" w:rsidP="007D52E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7D52E5" w:rsidRDefault="007D52E5" w:rsidP="007D52E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7D52E5" w:rsidRDefault="007D52E5" w:rsidP="007D52E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7D52E5" w:rsidRDefault="007D52E5" w:rsidP="007D52E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7D52E5" w:rsidRDefault="007D52E5" w:rsidP="007D52E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7D52E5" w:rsidRDefault="007D52E5" w:rsidP="007D52E5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7D52E5" w:rsidRDefault="007D52E5" w:rsidP="007D52E5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7D52E5" w:rsidRDefault="007D52E5" w:rsidP="007D52E5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7D52E5" w:rsidRDefault="007D52E5" w:rsidP="007D52E5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dla działki wynosi </w:t>
      </w:r>
      <w:r w:rsidR="00EC5D7E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0,-zł.</w:t>
      </w:r>
    </w:p>
    <w:p w:rsidR="007D52E5" w:rsidRDefault="007D52E5" w:rsidP="007D52E5">
      <w:pPr>
        <w:pStyle w:val="Bezodstpw"/>
        <w:ind w:left="284"/>
        <w:jc w:val="both"/>
        <w:rPr>
          <w:rFonts w:ascii="Arial" w:hAnsi="Arial" w:cs="Arial"/>
          <w:b/>
          <w:sz w:val="10"/>
          <w:szCs w:val="10"/>
        </w:rPr>
      </w:pPr>
    </w:p>
    <w:p w:rsidR="007D52E5" w:rsidRDefault="007D52E5" w:rsidP="007D52E5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7D52E5" w:rsidRDefault="007D52E5" w:rsidP="007D52E5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</w:t>
      </w:r>
      <w:proofErr w:type="gramStart"/>
      <w:r>
        <w:rPr>
          <w:rFonts w:ascii="Arial" w:hAnsi="Arial" w:cs="Arial"/>
          <w:sz w:val="20"/>
          <w:szCs w:val="20"/>
        </w:rPr>
        <w:t>wywołaniu  najwyżej</w:t>
      </w:r>
      <w:proofErr w:type="gramEnd"/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7D52E5" w:rsidRDefault="007D52E5" w:rsidP="007D52E5">
      <w:pPr>
        <w:pStyle w:val="Bezodstpw"/>
        <w:spacing w:line="276" w:lineRule="auto"/>
        <w:ind w:left="284" w:hanging="284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przeprowadzonego przetargu, w którym zawiera informacje o: </w:t>
      </w:r>
    </w:p>
    <w:p w:rsidR="007D52E5" w:rsidRDefault="007D52E5" w:rsidP="007D52E5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 terminie</w:t>
      </w:r>
      <w:proofErr w:type="gramEnd"/>
      <w:r>
        <w:rPr>
          <w:rFonts w:ascii="Arial" w:hAnsi="Arial" w:cs="Arial"/>
          <w:sz w:val="20"/>
          <w:szCs w:val="20"/>
        </w:rPr>
        <w:t xml:space="preserve"> i miejscu oraz rodzaju przetargu, </w:t>
      </w:r>
    </w:p>
    <w:p w:rsidR="007D52E5" w:rsidRDefault="007D52E5" w:rsidP="007D52E5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 oznaczeniu</w:t>
      </w:r>
      <w:proofErr w:type="gramEnd"/>
      <w:r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7D52E5" w:rsidRDefault="007D52E5" w:rsidP="007D52E5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obciążeniach</w:t>
      </w:r>
      <w:proofErr w:type="gramEnd"/>
      <w:r>
        <w:rPr>
          <w:rFonts w:ascii="Arial" w:hAnsi="Arial" w:cs="Arial"/>
          <w:sz w:val="20"/>
          <w:szCs w:val="20"/>
        </w:rPr>
        <w:t xml:space="preserve"> nieruchomości,</w:t>
      </w:r>
    </w:p>
    <w:p w:rsidR="007D52E5" w:rsidRDefault="007D52E5" w:rsidP="007D52E5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zobowiązaniach, których przedmiotem jest nieruchomość,</w:t>
      </w:r>
    </w:p>
    <w:p w:rsidR="007D52E5" w:rsidRDefault="007D52E5" w:rsidP="007D52E5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osobach dopuszczonych i niedopuszczonych do uczestnictwa w przetargu, wraz </w:t>
      </w:r>
      <w:proofErr w:type="gramStart"/>
      <w:r>
        <w:rPr>
          <w:rFonts w:ascii="Arial" w:hAnsi="Arial" w:cs="Arial"/>
          <w:sz w:val="20"/>
          <w:szCs w:val="20"/>
        </w:rPr>
        <w:t>z  uzasadnieniem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7D52E5" w:rsidRDefault="007D52E5" w:rsidP="007D52E5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 cenie</w:t>
      </w:r>
      <w:proofErr w:type="gramEnd"/>
      <w:r>
        <w:rPr>
          <w:rFonts w:ascii="Arial" w:hAnsi="Arial" w:cs="Arial"/>
          <w:sz w:val="20"/>
          <w:szCs w:val="20"/>
        </w:rPr>
        <w:t xml:space="preserve"> wywoławczej nieruchomości oraz najwyższej cenie osiągniętej w przetargu, </w:t>
      </w:r>
    </w:p>
    <w:p w:rsidR="007D52E5" w:rsidRDefault="007D52E5" w:rsidP="007D52E5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 imieniu</w:t>
      </w:r>
      <w:proofErr w:type="gramEnd"/>
      <w:r>
        <w:rPr>
          <w:rFonts w:ascii="Arial" w:hAnsi="Arial" w:cs="Arial"/>
          <w:sz w:val="20"/>
          <w:szCs w:val="20"/>
        </w:rPr>
        <w:t xml:space="preserve">, nazwisku i adresie albo nazwie lub firmie oraz siedzibie osoby wyłonionej w przetargu jako nabywca nieruchomości, </w:t>
      </w:r>
    </w:p>
    <w:p w:rsidR="007D52E5" w:rsidRDefault="007D52E5" w:rsidP="007D52E5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7D52E5" w:rsidRDefault="007D52E5" w:rsidP="007D52E5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dacie sporządzenia protokołu.</w:t>
      </w:r>
    </w:p>
    <w:p w:rsidR="007D52E5" w:rsidRDefault="007D52E5" w:rsidP="007D52E5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7D52E5" w:rsidRDefault="007D52E5" w:rsidP="007D52E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7D52E5" w:rsidRDefault="007D52E5" w:rsidP="007D52E5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7D52E5" w:rsidRDefault="00914D68" w:rsidP="00914D6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7D52E5"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AE58FD" w:rsidRDefault="00AE58FD"/>
    <w:sectPr w:rsidR="00AE58FD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4F48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2804"/>
    <w:multiLevelType w:val="hybridMultilevel"/>
    <w:tmpl w:val="A956DB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CA05AB"/>
    <w:multiLevelType w:val="hybridMultilevel"/>
    <w:tmpl w:val="0442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6CE4C7BE"/>
    <w:lvl w:ilvl="0" w:tplc="3BCC9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2111A"/>
    <w:rsid w:val="00044AF3"/>
    <w:rsid w:val="0004716B"/>
    <w:rsid w:val="0008680A"/>
    <w:rsid w:val="000B0EF9"/>
    <w:rsid w:val="000B3631"/>
    <w:rsid w:val="000B3B6F"/>
    <w:rsid w:val="00104DE5"/>
    <w:rsid w:val="0013489B"/>
    <w:rsid w:val="001477FB"/>
    <w:rsid w:val="00166F5B"/>
    <w:rsid w:val="00167B27"/>
    <w:rsid w:val="00195E1C"/>
    <w:rsid w:val="001B7C70"/>
    <w:rsid w:val="001C31C6"/>
    <w:rsid w:val="001C452C"/>
    <w:rsid w:val="001D11D8"/>
    <w:rsid w:val="001F501C"/>
    <w:rsid w:val="00207FB3"/>
    <w:rsid w:val="0029719D"/>
    <w:rsid w:val="002B29A2"/>
    <w:rsid w:val="002E7E2E"/>
    <w:rsid w:val="002F4C38"/>
    <w:rsid w:val="002F6B2B"/>
    <w:rsid w:val="00326D28"/>
    <w:rsid w:val="00333C9A"/>
    <w:rsid w:val="003369BB"/>
    <w:rsid w:val="003471FA"/>
    <w:rsid w:val="00362905"/>
    <w:rsid w:val="00372C89"/>
    <w:rsid w:val="00375EB6"/>
    <w:rsid w:val="003B6AC1"/>
    <w:rsid w:val="003D533D"/>
    <w:rsid w:val="004362B3"/>
    <w:rsid w:val="00437FB9"/>
    <w:rsid w:val="00442792"/>
    <w:rsid w:val="00461E18"/>
    <w:rsid w:val="00486EBD"/>
    <w:rsid w:val="00487B93"/>
    <w:rsid w:val="004B7D6F"/>
    <w:rsid w:val="004C111C"/>
    <w:rsid w:val="004C7455"/>
    <w:rsid w:val="004D3DB0"/>
    <w:rsid w:val="004F4874"/>
    <w:rsid w:val="00507779"/>
    <w:rsid w:val="00590556"/>
    <w:rsid w:val="005E03AC"/>
    <w:rsid w:val="006047CB"/>
    <w:rsid w:val="00606279"/>
    <w:rsid w:val="00642D62"/>
    <w:rsid w:val="006570C3"/>
    <w:rsid w:val="006754F7"/>
    <w:rsid w:val="006971E5"/>
    <w:rsid w:val="00703AB9"/>
    <w:rsid w:val="007365A5"/>
    <w:rsid w:val="00737BDC"/>
    <w:rsid w:val="00762F7D"/>
    <w:rsid w:val="007667A1"/>
    <w:rsid w:val="0076747E"/>
    <w:rsid w:val="00775A9D"/>
    <w:rsid w:val="007A3B1F"/>
    <w:rsid w:val="007A4ACE"/>
    <w:rsid w:val="007D52E5"/>
    <w:rsid w:val="00854F42"/>
    <w:rsid w:val="00855057"/>
    <w:rsid w:val="00894018"/>
    <w:rsid w:val="008B2A33"/>
    <w:rsid w:val="008E57FE"/>
    <w:rsid w:val="00914D68"/>
    <w:rsid w:val="009261EA"/>
    <w:rsid w:val="009377ED"/>
    <w:rsid w:val="00945FB0"/>
    <w:rsid w:val="00966ECC"/>
    <w:rsid w:val="009836A6"/>
    <w:rsid w:val="00997FE6"/>
    <w:rsid w:val="009B4083"/>
    <w:rsid w:val="009C1160"/>
    <w:rsid w:val="009C37A1"/>
    <w:rsid w:val="009C4FBE"/>
    <w:rsid w:val="00A17C66"/>
    <w:rsid w:val="00A55064"/>
    <w:rsid w:val="00A60B66"/>
    <w:rsid w:val="00A61479"/>
    <w:rsid w:val="00A62278"/>
    <w:rsid w:val="00AB5A29"/>
    <w:rsid w:val="00AE58FD"/>
    <w:rsid w:val="00B91E16"/>
    <w:rsid w:val="00BB6A06"/>
    <w:rsid w:val="00BC216C"/>
    <w:rsid w:val="00BF56AC"/>
    <w:rsid w:val="00C07E6D"/>
    <w:rsid w:val="00C169B3"/>
    <w:rsid w:val="00C420DD"/>
    <w:rsid w:val="00C437A7"/>
    <w:rsid w:val="00C76989"/>
    <w:rsid w:val="00C93C2C"/>
    <w:rsid w:val="00CD266D"/>
    <w:rsid w:val="00DA1C75"/>
    <w:rsid w:val="00DB55AE"/>
    <w:rsid w:val="00DD6D53"/>
    <w:rsid w:val="00DF4F54"/>
    <w:rsid w:val="00E10E6B"/>
    <w:rsid w:val="00E51C9B"/>
    <w:rsid w:val="00E566BF"/>
    <w:rsid w:val="00E74014"/>
    <w:rsid w:val="00EC5D7E"/>
    <w:rsid w:val="00EE3958"/>
    <w:rsid w:val="00F32D7B"/>
    <w:rsid w:val="00F55C29"/>
    <w:rsid w:val="00F63128"/>
    <w:rsid w:val="00F90098"/>
    <w:rsid w:val="00F902B1"/>
    <w:rsid w:val="00FA169E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56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95</cp:revision>
  <dcterms:created xsi:type="dcterms:W3CDTF">2015-03-05T08:18:00Z</dcterms:created>
  <dcterms:modified xsi:type="dcterms:W3CDTF">2015-09-25T08:03:00Z</dcterms:modified>
</cp:coreProperties>
</file>